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EDC6F" w14:textId="71609874" w:rsidR="003D1295" w:rsidRPr="0012544B" w:rsidRDefault="00BC791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3EDD66C2">
                <wp:simplePos x="0" y="0"/>
                <wp:positionH relativeFrom="column">
                  <wp:posOffset>3089910</wp:posOffset>
                </wp:positionH>
                <wp:positionV relativeFrom="paragraph">
                  <wp:posOffset>-422910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43.3pt;margin-top:-33.3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6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5E195" wp14:editId="1AF290B9">
                <wp:simplePos x="0" y="0"/>
                <wp:positionH relativeFrom="column">
                  <wp:posOffset>-21590</wp:posOffset>
                </wp:positionH>
                <wp:positionV relativeFrom="paragraph">
                  <wp:posOffset>-455295</wp:posOffset>
                </wp:positionV>
                <wp:extent cx="2732405" cy="7867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216A8" w14:textId="77777777" w:rsidR="00EA76AE" w:rsidRPr="00D73F81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3F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6DFBFF66" w14:textId="77777777" w:rsidR="00EA76AE" w:rsidRPr="00D73F81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3F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三重中央医療センター薬剤部 </w:t>
                            </w:r>
                          </w:p>
                          <w:p w14:paraId="7781DA1F" w14:textId="77777777" w:rsidR="00EA76AE" w:rsidRPr="00D73F81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3F8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D73F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3F8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059-259-0775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D5E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7pt;margin-top:-35.85pt;width:215.1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" filled="f" stroked="f" strokeweight=".5pt">
                <v:textbox>
                  <w:txbxContent>
                    <w:p w14:paraId="411216A8" w14:textId="77777777" w:rsidR="00EA76AE" w:rsidRPr="00D73F81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3F8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6DFBFF66" w14:textId="77777777" w:rsidR="00EA76AE" w:rsidRPr="00D73F81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3F8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三重中央医療センター薬剤部 </w:t>
                      </w:r>
                    </w:p>
                    <w:p w14:paraId="7781DA1F" w14:textId="77777777" w:rsidR="00EA76AE" w:rsidRPr="00D73F81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3F8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</w:t>
                      </w:r>
                      <w:r w:rsidRPr="00D73F8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73F8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059-259-0775</w:t>
                      </w:r>
                    </w:p>
                  </w:txbxContent>
                </v:textbox>
              </v:shape>
            </w:pict>
          </mc:Fallback>
        </mc:AlternateConten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526D68EF" w:rsidR="009F6892" w:rsidRPr="009F6892" w:rsidRDefault="009F657F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がん薬物療法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11194" w:type="dxa"/>
        <w:tblLook w:val="04A0" w:firstRow="1" w:lastRow="0" w:firstColumn="1" w:lastColumn="0" w:noHBand="0" w:noVBand="1"/>
      </w:tblPr>
      <w:tblGrid>
        <w:gridCol w:w="5382"/>
        <w:gridCol w:w="5812"/>
      </w:tblGrid>
      <w:tr w:rsidR="009F6892" w:rsidRPr="009F6892" w14:paraId="575A5D21" w14:textId="77777777" w:rsidTr="00E860A5">
        <w:trPr>
          <w:trHeight w:val="905"/>
        </w:trPr>
        <w:tc>
          <w:tcPr>
            <w:tcW w:w="5382" w:type="dxa"/>
            <w:tcBorders>
              <w:top w:val="single" w:sz="6" w:space="0" w:color="auto"/>
              <w:left w:val="single" w:sz="4" w:space="0" w:color="auto"/>
            </w:tcBorders>
          </w:tcPr>
          <w:p w14:paraId="4BE76CCD" w14:textId="68FE6E97" w:rsidR="009F6892" w:rsidRPr="0012544B" w:rsidRDefault="00F83EB1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</w:t>
            </w:r>
            <w:r w:rsidR="00E61A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61A8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科</w:t>
            </w:r>
          </w:p>
          <w:p w14:paraId="0845DC67" w14:textId="57C760F7" w:rsidR="009F6892" w:rsidRPr="0012544B" w:rsidRDefault="009F6892" w:rsidP="00143F2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6" w:space="0" w:color="auto"/>
            </w:tcBorders>
          </w:tcPr>
          <w:p w14:paraId="241E5A8D" w14:textId="77777777" w:rsidR="009F6892" w:rsidRDefault="007F4114" w:rsidP="007F41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情報提供元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保険薬局名称</w:t>
            </w:r>
          </w:p>
          <w:p w14:paraId="7B250C6B" w14:textId="099CB2E4" w:rsidR="00C0725A" w:rsidRPr="00C0725A" w:rsidRDefault="00C0725A" w:rsidP="00251EE6">
            <w:pPr>
              <w:tabs>
                <w:tab w:val="left" w:pos="4800"/>
              </w:tabs>
              <w:ind w:firstLineChars="500" w:firstLine="160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6892" w:rsidRPr="009F6892" w14:paraId="085E9B4D" w14:textId="77777777" w:rsidTr="00E860A5">
        <w:tc>
          <w:tcPr>
            <w:tcW w:w="5382" w:type="dxa"/>
            <w:vMerge w:val="restart"/>
            <w:tcBorders>
              <w:left w:val="single" w:sz="4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59D38A4B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4774F741" w14:textId="7DD3687C" w:rsidR="00F83EB1" w:rsidRPr="0012544B" w:rsidRDefault="00F83EB1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</w:p>
        </w:tc>
        <w:tc>
          <w:tcPr>
            <w:tcW w:w="5812" w:type="dxa"/>
            <w:tcBorders>
              <w:right w:val="single" w:sz="6" w:space="0" w:color="auto"/>
            </w:tcBorders>
          </w:tcPr>
          <w:p w14:paraId="6D3E415E" w14:textId="49D7648B" w:rsidR="009F6892" w:rsidRPr="0012544B" w:rsidRDefault="009F6892" w:rsidP="00251EE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="00C0725A">
              <w:rPr>
                <w:rFonts w:asciiTheme="majorEastAsia" w:eastAsiaTheme="majorEastAsia" w:hAnsiTheme="majorEastAsia" w:hint="eastAsia"/>
                <w:sz w:val="24"/>
                <w:szCs w:val="24"/>
              </w:rPr>
              <w:t>059-</w:t>
            </w:r>
            <w:r w:rsidR="00251EE6">
              <w:rPr>
                <w:rFonts w:asciiTheme="majorEastAsia" w:eastAsiaTheme="majorEastAsia" w:hAnsiTheme="majorEastAsia" w:hint="eastAsia"/>
                <w:sz w:val="24"/>
                <w:szCs w:val="24"/>
              </w:rPr>
              <w:t>●●●</w:t>
            </w:r>
            <w:r w:rsidR="00C0725A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251EE6">
              <w:rPr>
                <w:rFonts w:asciiTheme="majorEastAsia" w:eastAsiaTheme="majorEastAsia" w:hAnsiTheme="majorEastAsia" w:hint="eastAsia"/>
                <w:sz w:val="24"/>
                <w:szCs w:val="24"/>
              </w:rPr>
              <w:t>●●●</w:t>
            </w:r>
            <w:r w:rsidR="00251EE6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9F6892" w:rsidRPr="009F6892" w14:paraId="412F4F0D" w14:textId="77777777" w:rsidTr="00E860A5">
        <w:tc>
          <w:tcPr>
            <w:tcW w:w="5382" w:type="dxa"/>
            <w:vMerge/>
            <w:tcBorders>
              <w:left w:val="single" w:sz="4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6" w:space="0" w:color="auto"/>
            </w:tcBorders>
          </w:tcPr>
          <w:p w14:paraId="1E79C961" w14:textId="39E4FCFA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  <w:r w:rsidR="00C0725A">
              <w:rPr>
                <w:rFonts w:asciiTheme="majorEastAsia" w:eastAsiaTheme="majorEastAsia" w:hAnsiTheme="majorEastAsia" w:hint="eastAsia"/>
                <w:sz w:val="24"/>
                <w:szCs w:val="24"/>
              </w:rPr>
              <w:t>059-</w:t>
            </w:r>
            <w:r w:rsidR="00251EE6">
              <w:rPr>
                <w:rFonts w:asciiTheme="majorEastAsia" w:eastAsiaTheme="majorEastAsia" w:hAnsiTheme="majorEastAsia" w:hint="eastAsia"/>
                <w:sz w:val="24"/>
                <w:szCs w:val="24"/>
              </w:rPr>
              <w:t>●●●-●●●●</w:t>
            </w:r>
          </w:p>
        </w:tc>
      </w:tr>
      <w:tr w:rsidR="009F6892" w:rsidRPr="009F6892" w14:paraId="10554045" w14:textId="77777777" w:rsidTr="00E860A5">
        <w:trPr>
          <w:trHeight w:val="525"/>
        </w:trPr>
        <w:tc>
          <w:tcPr>
            <w:tcW w:w="5382" w:type="dxa"/>
            <w:vMerge/>
            <w:tcBorders>
              <w:left w:val="single" w:sz="4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5812" w:type="dxa"/>
            <w:tcBorders>
              <w:right w:val="single" w:sz="6" w:space="0" w:color="auto"/>
            </w:tcBorders>
          </w:tcPr>
          <w:p w14:paraId="2EF1E119" w14:textId="70F67DCF" w:rsidR="009F6892" w:rsidRPr="0012544B" w:rsidRDefault="007F4114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45C44C80" wp14:editId="7FE0BBB4">
                      <wp:simplePos x="0" y="0"/>
                      <wp:positionH relativeFrom="column">
                        <wp:posOffset>2795270</wp:posOffset>
                      </wp:positionH>
                      <wp:positionV relativeFrom="page">
                        <wp:posOffset>67945</wp:posOffset>
                      </wp:positionV>
                      <wp:extent cx="333375" cy="342900"/>
                      <wp:effectExtent l="0" t="0" r="0" b="0"/>
                      <wp:wrapNone/>
                      <wp:docPr id="1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DAE0" w14:textId="77777777" w:rsidR="007F4114" w:rsidRPr="00BF5A62" w:rsidRDefault="007F4114" w:rsidP="007F411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C44C80" id="テキスト 2" o:spid="_x0000_s1028" type="#_x0000_t202" style="position:absolute;left:0;text-align:left;margin-left:220.1pt;margin-top:5.35pt;width:2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" o:allowoverlap="f" filled="f" stroked="f" strokeweight=".5pt">
                      <v:textbox>
                        <w:txbxContent>
                          <w:p w14:paraId="03B9DAE0" w14:textId="77777777" w:rsidR="007F4114" w:rsidRPr="00BF5A62" w:rsidRDefault="007F4114" w:rsidP="007F41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</w:tbl>
    <w:p w14:paraId="32D87A7A" w14:textId="78AE7527" w:rsidR="009F657F" w:rsidRPr="00FA1DAB" w:rsidRDefault="009F657F" w:rsidP="000C5902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A1DAB">
        <w:rPr>
          <w:rFonts w:asciiTheme="majorEastAsia" w:eastAsiaTheme="majorEastAsia" w:hAnsiTheme="majorEastAsia" w:hint="eastAsia"/>
          <w:sz w:val="20"/>
          <w:szCs w:val="20"/>
        </w:rPr>
        <w:t>がん薬物療法（　　　　　　　　　　　　　）に関する薬学的管理を行いました。</w:t>
      </w:r>
    </w:p>
    <w:p w14:paraId="684EAAC4" w14:textId="2A2A4652" w:rsidR="00C26B19" w:rsidRPr="00FA1DAB" w:rsidRDefault="007977C5" w:rsidP="000C5902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A1DAB">
        <w:rPr>
          <w:rFonts w:asciiTheme="majorEastAsia" w:eastAsiaTheme="majorEastAsia" w:hAnsiTheme="majorEastAsia" w:hint="eastAsia"/>
          <w:sz w:val="20"/>
          <w:szCs w:val="20"/>
        </w:rPr>
        <w:t>下記の通り</w:t>
      </w:r>
      <w:r w:rsidR="003620E8" w:rsidRPr="00FA1DAB">
        <w:rPr>
          <w:rFonts w:asciiTheme="majorEastAsia" w:eastAsiaTheme="majorEastAsia" w:hAnsiTheme="majorEastAsia" w:hint="eastAsia"/>
          <w:sz w:val="20"/>
          <w:szCs w:val="20"/>
        </w:rPr>
        <w:t>、ご報告いたします。ご高配賜りますようお願い申し上げます。</w:t>
      </w:r>
    </w:p>
    <w:tbl>
      <w:tblPr>
        <w:tblStyle w:val="a7"/>
        <w:tblW w:w="11194" w:type="dxa"/>
        <w:tblLook w:val="04A0" w:firstRow="1" w:lastRow="0" w:firstColumn="1" w:lastColumn="0" w:noHBand="0" w:noVBand="1"/>
      </w:tblPr>
      <w:tblGrid>
        <w:gridCol w:w="4066"/>
        <w:gridCol w:w="3695"/>
        <w:gridCol w:w="3455"/>
      </w:tblGrid>
      <w:tr w:rsidR="00E860A5" w14:paraId="537FCF08" w14:textId="77777777" w:rsidTr="00E860A5">
        <w:trPr>
          <w:trHeight w:val="366"/>
        </w:trPr>
        <w:tc>
          <w:tcPr>
            <w:tcW w:w="4106" w:type="dxa"/>
            <w:tcBorders>
              <w:bottom w:val="single" w:sz="4" w:space="0" w:color="auto"/>
            </w:tcBorders>
          </w:tcPr>
          <w:p w14:paraId="7C0D4BBF" w14:textId="77777777" w:rsidR="00E860A5" w:rsidRPr="000B6C6C" w:rsidRDefault="00E860A5" w:rsidP="00D46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C6C"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処方箋発行日：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49964F" w14:textId="77777777" w:rsidR="00E860A5" w:rsidRPr="000B6C6C" w:rsidRDefault="00E860A5" w:rsidP="00D46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C6C">
              <w:rPr>
                <w:rFonts w:asciiTheme="majorEastAsia" w:eastAsiaTheme="majorEastAsia" w:hAnsiTheme="majorEastAsia" w:hint="eastAsia"/>
                <w:sz w:val="24"/>
                <w:szCs w:val="24"/>
              </w:rPr>
              <w:t>調剤日：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1FE423" w14:textId="2FDFA4B5" w:rsidR="00E860A5" w:rsidRPr="000B6C6C" w:rsidRDefault="00E860A5" w:rsidP="00D46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C6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確認日：</w:t>
            </w:r>
          </w:p>
        </w:tc>
      </w:tr>
      <w:tr w:rsidR="00B111E8" w:rsidRPr="00FA1DAB" w14:paraId="13114242" w14:textId="77777777" w:rsidTr="00E860A5">
        <w:trPr>
          <w:trHeight w:val="718"/>
        </w:trPr>
        <w:tc>
          <w:tcPr>
            <w:tcW w:w="11194" w:type="dxa"/>
            <w:gridSpan w:val="3"/>
          </w:tcPr>
          <w:p w14:paraId="2B9F6BCE" w14:textId="159DA06B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【副作用の評価（※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 xml:space="preserve">　　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の症状が「あり」の場合は、電話での速やかな報告もお願いします）】</w:t>
            </w:r>
          </w:p>
          <w:p w14:paraId="1DF78F49" w14:textId="77777777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骨髄抑制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（好中球減少・血小板減少・ヘモグロビン減少）□なし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あり（受診日以外の検査値異常）</w:t>
            </w:r>
          </w:p>
          <w:p w14:paraId="3D40A801" w14:textId="77777777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発熱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（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38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度以上）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</w:t>
            </w:r>
          </w:p>
          <w:p w14:paraId="747A08F3" w14:textId="77777777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感染症様症状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（喉の痛み、排尿時痛）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</w:t>
            </w:r>
          </w:p>
          <w:p w14:paraId="08B64346" w14:textId="77777777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呼吸困難・息切れ・空咳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</w:t>
            </w:r>
          </w:p>
          <w:p w14:paraId="533F849C" w14:textId="77777777" w:rsidR="009F657F" w:rsidRPr="000B6C6C" w:rsidRDefault="009F657F" w:rsidP="008F47D6">
            <w:pPr>
              <w:autoSpaceDE w:val="0"/>
              <w:autoSpaceDN w:val="0"/>
              <w:adjustRightIn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直近における肝機能・腎機能の急激な悪化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あり（受診日以外の検査値異常）</w:t>
            </w:r>
          </w:p>
          <w:p w14:paraId="2CFA22AE" w14:textId="51CC8A07" w:rsidR="00F30047" w:rsidRPr="000B6C6C" w:rsidRDefault="009F657F" w:rsidP="008F47D6">
            <w:pPr>
              <w:spacing w:line="0" w:lineRule="atLeast"/>
              <w:contextualSpacing/>
              <w:rPr>
                <w:rFonts w:asciiTheme="majorEastAsia" w:eastAsiaTheme="majorEastAsia" w:hAnsiTheme="majorEastAsia"/>
                <w:spacing w:val="2"/>
                <w:szCs w:val="21"/>
              </w:rPr>
            </w:pPr>
            <w:r w:rsidRPr="000B6C6C">
              <w:rPr>
                <w:rFonts w:asciiTheme="majorEastAsia" w:eastAsiaTheme="majorEastAsia" w:hAnsiTheme="majorEastAsia" w:cs="MS-Gothic" w:hint="eastAsia"/>
                <w:spacing w:val="2"/>
                <w:kern w:val="0"/>
                <w:sz w:val="20"/>
                <w:szCs w:val="20"/>
              </w:rPr>
              <w:t>・</w:t>
            </w:r>
            <w:r w:rsidRPr="000B6C6C">
              <w:rPr>
                <w:rFonts w:asciiTheme="majorEastAsia" w:eastAsiaTheme="majorEastAsia" w:hAnsiTheme="majorEastAsia" w:cs="MS-Gothic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浮腫・急激な体重の増加</w:t>
            </w:r>
            <w:r w:rsidRPr="000B6C6C">
              <w:rPr>
                <w:rFonts w:asciiTheme="majorEastAsia" w:eastAsiaTheme="majorEastAsia" w:hAnsiTheme="majorEastAsia" w:cs="HiraMaruPro-W4" w:hint="eastAsia"/>
                <w:spacing w:val="2"/>
                <w:kern w:val="0"/>
                <w:sz w:val="20"/>
                <w:szCs w:val="20"/>
              </w:rPr>
              <w:t>（３日以内に２</w:t>
            </w:r>
            <w:r w:rsidRPr="000B6C6C">
              <w:rPr>
                <w:rFonts w:asciiTheme="majorEastAsia" w:eastAsiaTheme="majorEastAsia" w:hAnsiTheme="majorEastAsia" w:cs="HiraMaruPro-W4"/>
                <w:spacing w:val="2"/>
                <w:kern w:val="0"/>
                <w:sz w:val="20"/>
                <w:szCs w:val="20"/>
              </w:rPr>
              <w:t xml:space="preserve">kg </w:t>
            </w:r>
            <w:r w:rsidRPr="000B6C6C">
              <w:rPr>
                <w:rFonts w:asciiTheme="majorEastAsia" w:eastAsiaTheme="majorEastAsia" w:hAnsiTheme="majorEastAsia" w:cs="HiraMaruPro-W4" w:hint="eastAsia"/>
                <w:spacing w:val="2"/>
                <w:kern w:val="0"/>
                <w:sz w:val="20"/>
                <w:szCs w:val="20"/>
              </w:rPr>
              <w:t>以上の増加）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□なし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</w:rPr>
              <w:t xml:space="preserve"> 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</w:rPr>
              <w:t>□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あり（体重：（　/　）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  <w:shd w:val="pct15" w:color="auto" w:fill="FFFFFF"/>
              </w:rPr>
              <w:t xml:space="preserve"> kg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→（　/　）</w:t>
            </w:r>
            <w:r w:rsidRPr="000B6C6C">
              <w:rPr>
                <w:rFonts w:asciiTheme="majorEastAsia" w:eastAsiaTheme="majorEastAsia" w:hAnsiTheme="majorEastAsia" w:cs="HiraMaruProN-W4"/>
                <w:spacing w:val="2"/>
                <w:kern w:val="0"/>
                <w:sz w:val="20"/>
                <w:szCs w:val="20"/>
                <w:shd w:val="pct15" w:color="auto" w:fill="FFFFFF"/>
              </w:rPr>
              <w:t xml:space="preserve"> kg</w:t>
            </w:r>
            <w:r w:rsidRPr="000B6C6C">
              <w:rPr>
                <w:rFonts w:asciiTheme="majorEastAsia" w:eastAsiaTheme="majorEastAsia" w:hAnsiTheme="majorEastAsia" w:cs="HiraMaruProN-W4" w:hint="eastAsia"/>
                <w:spacing w:val="2"/>
                <w:kern w:val="0"/>
                <w:sz w:val="20"/>
                <w:szCs w:val="20"/>
                <w:shd w:val="pct15" w:color="auto" w:fill="FFFFFF"/>
              </w:rPr>
              <w:t>）</w:t>
            </w:r>
          </w:p>
        </w:tc>
      </w:tr>
      <w:tr w:rsidR="00C131A0" w:rsidRPr="00FA1DAB" w14:paraId="46775793" w14:textId="77777777" w:rsidTr="00F0214C">
        <w:trPr>
          <w:trHeight w:val="7929"/>
        </w:trPr>
        <w:tc>
          <w:tcPr>
            <w:tcW w:w="11194" w:type="dxa"/>
            <w:gridSpan w:val="3"/>
          </w:tcPr>
          <w:tbl>
            <w:tblPr>
              <w:tblStyle w:val="a9"/>
              <w:tblW w:w="11074" w:type="dxa"/>
              <w:tblLook w:val="04A0" w:firstRow="1" w:lastRow="0" w:firstColumn="1" w:lastColumn="0" w:noHBand="0" w:noVBand="1"/>
            </w:tblPr>
            <w:tblGrid>
              <w:gridCol w:w="1340"/>
              <w:gridCol w:w="675"/>
              <w:gridCol w:w="359"/>
              <w:gridCol w:w="2289"/>
              <w:gridCol w:w="359"/>
              <w:gridCol w:w="2636"/>
              <w:gridCol w:w="359"/>
              <w:gridCol w:w="3057"/>
            </w:tblGrid>
            <w:tr w:rsidR="00640503" w:rsidRPr="00640503" w14:paraId="7493A0BA" w14:textId="77777777" w:rsidTr="00F0214C">
              <w:tc>
                <w:tcPr>
                  <w:tcW w:w="2015" w:type="dxa"/>
                  <w:gridSpan w:val="2"/>
                </w:tcPr>
                <w:p w14:paraId="79FF50D3" w14:textId="06610110" w:rsidR="00C131A0" w:rsidRPr="002F2BDF" w:rsidRDefault="00C131A0" w:rsidP="008F47D6">
                  <w:pPr>
                    <w:spacing w:line="0" w:lineRule="atLeast"/>
                    <w:contextualSpacing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2F2BDF">
                    <w:rPr>
                      <w:rFonts w:ascii="BIZ UDPゴシック" w:eastAsia="BIZ UDPゴシック" w:hAnsi="BIZ UDPゴシック" w:cs="HiraMaruProN-W4" w:hint="eastAsia"/>
                      <w:b/>
                      <w:bCs/>
                      <w:spacing w:val="2"/>
                      <w:kern w:val="0"/>
                      <w:sz w:val="20"/>
                      <w:szCs w:val="20"/>
                    </w:rPr>
                    <w:t>症状</w:t>
                  </w:r>
                </w:p>
              </w:tc>
              <w:tc>
                <w:tcPr>
                  <w:tcW w:w="2648" w:type="dxa"/>
                  <w:gridSpan w:val="2"/>
                </w:tcPr>
                <w:p w14:paraId="652ACEFD" w14:textId="5B48CF98" w:rsidR="00C131A0" w:rsidRPr="002F2BDF" w:rsidRDefault="00C131A0" w:rsidP="008F47D6">
                  <w:pPr>
                    <w:spacing w:line="0" w:lineRule="atLeast"/>
                    <w:contextualSpacing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2F2BDF">
                    <w:rPr>
                      <w:rFonts w:ascii="BIZ UDPゴシック" w:eastAsia="BIZ UDPゴシック" w:hAnsi="BIZ UDPゴシック" w:cs="HiraMaruProN-W4" w:hint="eastAsia"/>
                      <w:b/>
                      <w:bCs/>
                      <w:spacing w:val="2"/>
                      <w:kern w:val="0"/>
                      <w:sz w:val="20"/>
                      <w:szCs w:val="20"/>
                    </w:rPr>
                    <w:t>Grade1</w:t>
                  </w:r>
                </w:p>
              </w:tc>
              <w:tc>
                <w:tcPr>
                  <w:tcW w:w="2995" w:type="dxa"/>
                  <w:gridSpan w:val="2"/>
                </w:tcPr>
                <w:p w14:paraId="19328D12" w14:textId="796A41E7" w:rsidR="00C131A0" w:rsidRPr="002F2BDF" w:rsidRDefault="00C131A0" w:rsidP="008F47D6">
                  <w:pPr>
                    <w:spacing w:line="0" w:lineRule="atLeast"/>
                    <w:contextualSpacing/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2F2BDF">
                    <w:rPr>
                      <w:rFonts w:ascii="BIZ UDPゴシック" w:eastAsia="BIZ UDPゴシック" w:hAnsi="BIZ UDPゴシック" w:cs="HiraMaruProN-W4" w:hint="eastAsia"/>
                      <w:b/>
                      <w:bCs/>
                      <w:spacing w:val="2"/>
                      <w:kern w:val="0"/>
                      <w:sz w:val="20"/>
                      <w:szCs w:val="20"/>
                    </w:rPr>
                    <w:t>Grade２</w:t>
                  </w:r>
                </w:p>
              </w:tc>
              <w:tc>
                <w:tcPr>
                  <w:tcW w:w="3416" w:type="dxa"/>
                  <w:gridSpan w:val="2"/>
                </w:tcPr>
                <w:p w14:paraId="11152E08" w14:textId="30643189" w:rsidR="00C131A0" w:rsidRPr="002F2BDF" w:rsidRDefault="00C131A0" w:rsidP="008F47D6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6"/>
                      <w:szCs w:val="16"/>
                      <w:shd w:val="pct15" w:color="auto" w:fill="FFFFFF"/>
                    </w:rPr>
                  </w:pPr>
                  <w:r w:rsidRPr="002F2BDF">
                    <w:rPr>
                      <w:rFonts w:ascii="BIZ UDPゴシック" w:eastAsia="BIZ UDPゴシック" w:hAnsi="BIZ UDPゴシック" w:cs="HiraMaruProN-W4" w:hint="eastAsia"/>
                      <w:b/>
                      <w:bCs/>
                      <w:spacing w:val="2"/>
                      <w:kern w:val="0"/>
                      <w:sz w:val="16"/>
                      <w:szCs w:val="16"/>
                      <w:shd w:val="pct15" w:color="auto" w:fill="FFFFFF"/>
                    </w:rPr>
                    <w:t>Grade3（※症状の詳細を下記に記入）</w:t>
                  </w:r>
                </w:p>
              </w:tc>
            </w:tr>
            <w:tr w:rsidR="00E860A5" w:rsidRPr="00640503" w14:paraId="3EE79DB5" w14:textId="77777777" w:rsidTr="00F0214C">
              <w:tc>
                <w:tcPr>
                  <w:tcW w:w="1340" w:type="dxa"/>
                </w:tcPr>
                <w:p w14:paraId="3E441760" w14:textId="6C6C3B37" w:rsidR="00C22631" w:rsidRPr="000E4DBE" w:rsidRDefault="00C22631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下痢</w:t>
                  </w:r>
                </w:p>
              </w:tc>
              <w:tc>
                <w:tcPr>
                  <w:tcW w:w="675" w:type="dxa"/>
                </w:tcPr>
                <w:p w14:paraId="4A72A566" w14:textId="72BACBDA" w:rsidR="00C22631" w:rsidRPr="000E4DBE" w:rsidRDefault="00C22631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7FFD0ED3" w14:textId="2E4B8F7E" w:rsidR="00C22631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2B40049C" w14:textId="67BA17EA" w:rsidR="00C22631" w:rsidRPr="000E4DBE" w:rsidRDefault="00C22631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＜4 回/日の排便回数の増加</w:t>
                  </w:r>
                </w:p>
              </w:tc>
              <w:tc>
                <w:tcPr>
                  <w:tcW w:w="359" w:type="dxa"/>
                </w:tcPr>
                <w:p w14:paraId="41EC05A7" w14:textId="312519E3" w:rsidR="00C22631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48D98D67" w14:textId="77777777" w:rsidR="00C22631" w:rsidRPr="00700885" w:rsidRDefault="00C22631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2"/>
                      <w:szCs w:val="12"/>
                    </w:rPr>
                    <w:t>4-6 回/日の排便回数の増加；</w:t>
                  </w:r>
                </w:p>
                <w:p w14:paraId="51FDA43F" w14:textId="5D1290DE" w:rsidR="00C22631" w:rsidRPr="00700885" w:rsidRDefault="00C22631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2"/>
                      <w:szCs w:val="12"/>
                    </w:rPr>
                    <w:t>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75386C84" w14:textId="14B9B5B2" w:rsidR="00C22631" w:rsidRPr="000E4DBE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0FE7FADE" w14:textId="77777777" w:rsidR="00C22631" w:rsidRPr="00700885" w:rsidRDefault="00C22631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  <w:t xml:space="preserve">7 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  <w:t>回以上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  <w:t>/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  <w:t>日の排便回数の増加；</w:t>
                  </w:r>
                </w:p>
                <w:p w14:paraId="0A92DAFC" w14:textId="518FBECF" w:rsidR="00C22631" w:rsidRPr="00700885" w:rsidRDefault="00C22631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  <w:shd w:val="pct15" w:color="auto" w:fill="FFFFFF"/>
                    </w:rPr>
                    <w:t>便失禁；身の回りの日常生活動作の制限</w:t>
                  </w:r>
                </w:p>
              </w:tc>
            </w:tr>
            <w:tr w:rsidR="00E860A5" w:rsidRPr="00640503" w14:paraId="5DEF7C10" w14:textId="77777777" w:rsidTr="00F0214C">
              <w:tc>
                <w:tcPr>
                  <w:tcW w:w="1340" w:type="dxa"/>
                </w:tcPr>
                <w:p w14:paraId="7CE7F707" w14:textId="5E1EF6AA" w:rsidR="00C22631" w:rsidRPr="000E4DBE" w:rsidRDefault="00C22631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便秘</w:t>
                  </w:r>
                </w:p>
              </w:tc>
              <w:tc>
                <w:tcPr>
                  <w:tcW w:w="675" w:type="dxa"/>
                </w:tcPr>
                <w:p w14:paraId="69FCD109" w14:textId="1B5C0ACC" w:rsidR="00C22631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22EC2C19" w14:textId="395EED22" w:rsidR="00C22631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27391301" w14:textId="77777777" w:rsidR="003C08E7" w:rsidRPr="000E4DBE" w:rsidRDefault="003C08E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不定期または間欠的な症状；</w:t>
                  </w:r>
                </w:p>
                <w:p w14:paraId="59648F26" w14:textId="539ACF39" w:rsidR="00C22631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緩下薬、浣腸を不定期に使用</w:t>
                  </w:r>
                </w:p>
              </w:tc>
              <w:tc>
                <w:tcPr>
                  <w:tcW w:w="359" w:type="dxa"/>
                </w:tcPr>
                <w:p w14:paraId="01D49D5E" w14:textId="26641914" w:rsidR="00C22631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73DCFFDC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緩下薬または浣腸の定期的使用を要する持続的</w:t>
                  </w:r>
                </w:p>
                <w:p w14:paraId="54A5DC97" w14:textId="0050A1CC" w:rsidR="00C22631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症状；身の回り以外の日常生活動作の制限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7A0C6498" w14:textId="57ACC165" w:rsidR="00C22631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35AF5CE8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摘便を要する頑固な便秘；</w:t>
                  </w:r>
                </w:p>
                <w:p w14:paraId="487C26F6" w14:textId="238BF48B" w:rsidR="00C22631" w:rsidRPr="00700885" w:rsidRDefault="00640503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身の回りの日常生活動作の制限</w:t>
                  </w:r>
                </w:p>
              </w:tc>
            </w:tr>
            <w:tr w:rsidR="00E860A5" w:rsidRPr="00640503" w14:paraId="00C5A8E2" w14:textId="77777777" w:rsidTr="00F0214C">
              <w:tc>
                <w:tcPr>
                  <w:tcW w:w="1340" w:type="dxa"/>
                </w:tcPr>
                <w:p w14:paraId="13AD8C7D" w14:textId="2FB38BD2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食欲不振・吐き気</w:t>
                  </w:r>
                </w:p>
              </w:tc>
              <w:tc>
                <w:tcPr>
                  <w:tcW w:w="675" w:type="dxa"/>
                </w:tcPr>
                <w:p w14:paraId="03F358AD" w14:textId="743826B9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299DA058" w14:textId="4CE89B9A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7242BE58" w14:textId="77777777" w:rsidR="003C08E7" w:rsidRPr="000E4DBE" w:rsidRDefault="003C08E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摂食習慣の変化を伴わない</w:t>
                  </w:r>
                </w:p>
                <w:p w14:paraId="1F1D0BFD" w14:textId="058D28B0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食欲低下</w:t>
                  </w:r>
                </w:p>
              </w:tc>
              <w:tc>
                <w:tcPr>
                  <w:tcW w:w="359" w:type="dxa"/>
                </w:tcPr>
                <w:p w14:paraId="3861AF58" w14:textId="3F0BA7F3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4A03BF4F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顕著な体重減少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脱水または栄養失調を伴わな</w:t>
                  </w:r>
                </w:p>
                <w:p w14:paraId="169092EC" w14:textId="0CCF230D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い経口摂食量減少</w:t>
                  </w:r>
                </w:p>
              </w:tc>
              <w:tc>
                <w:tcPr>
                  <w:tcW w:w="359" w:type="dxa"/>
                </w:tcPr>
                <w:p w14:paraId="436113F1" w14:textId="40E6FF05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6A76D2A6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カロリーや水分の経口摂取が不十分；</w:t>
                  </w:r>
                </w:p>
                <w:p w14:paraId="7E46E4D5" w14:textId="6B7C08C9" w:rsidR="003C08E7" w:rsidRPr="00700885" w:rsidRDefault="00640503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経管栄養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/TPN/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入院を要する</w:t>
                  </w:r>
                </w:p>
              </w:tc>
            </w:tr>
            <w:tr w:rsidR="00E860A5" w:rsidRPr="00640503" w14:paraId="710D76BF" w14:textId="77777777" w:rsidTr="00F0214C">
              <w:tc>
                <w:tcPr>
                  <w:tcW w:w="1340" w:type="dxa"/>
                </w:tcPr>
                <w:p w14:paraId="2ED9EBC1" w14:textId="47F02D48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嘔吐</w:t>
                  </w:r>
                </w:p>
              </w:tc>
              <w:tc>
                <w:tcPr>
                  <w:tcW w:w="675" w:type="dxa"/>
                </w:tcPr>
                <w:p w14:paraId="7936221A" w14:textId="4F1418AD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2CC73B3A" w14:textId="7CDAE00D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518137F3" w14:textId="77777777" w:rsidR="003C08E7" w:rsidRPr="000E4DBE" w:rsidRDefault="003C08E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spacing w:val="2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24 時間に1-2 エピソードの嘔吐</w:t>
                  </w:r>
                </w:p>
                <w:p w14:paraId="7237FC9B" w14:textId="654C39A5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spacing w:val="2"/>
                      <w:kern w:val="0"/>
                      <w:sz w:val="14"/>
                      <w:szCs w:val="14"/>
                    </w:rPr>
                    <w:t>（５分以上の間隔が開いた嘔吐）</w:t>
                  </w:r>
                </w:p>
              </w:tc>
              <w:tc>
                <w:tcPr>
                  <w:tcW w:w="359" w:type="dxa"/>
                </w:tcPr>
                <w:p w14:paraId="68E2ACA9" w14:textId="3929515D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299E499C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 xml:space="preserve">24 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時間に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 xml:space="preserve">3-5 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エピソードの嘔吐</w:t>
                  </w:r>
                </w:p>
                <w:p w14:paraId="5B06AE07" w14:textId="387AB9F8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（５分以上の間隔が開いた嘔吐）</w:t>
                  </w:r>
                </w:p>
              </w:tc>
              <w:tc>
                <w:tcPr>
                  <w:tcW w:w="359" w:type="dxa"/>
                </w:tcPr>
                <w:p w14:paraId="2A4F2C32" w14:textId="62E8D657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48B97D9C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 xml:space="preserve">24 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時間に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 xml:space="preserve">6 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エピソード以上の嘔吐</w:t>
                  </w:r>
                </w:p>
                <w:p w14:paraId="3A5F31FC" w14:textId="0F14B14D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（５分以上の間隔が開いた嘔吐）</w:t>
                  </w:r>
                </w:p>
              </w:tc>
            </w:tr>
            <w:tr w:rsidR="00E860A5" w:rsidRPr="00640503" w14:paraId="6053EA61" w14:textId="77777777" w:rsidTr="00F0214C">
              <w:tc>
                <w:tcPr>
                  <w:tcW w:w="1340" w:type="dxa"/>
                </w:tcPr>
                <w:p w14:paraId="30DA44EC" w14:textId="6C488063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口内炎</w:t>
                  </w:r>
                </w:p>
              </w:tc>
              <w:tc>
                <w:tcPr>
                  <w:tcW w:w="675" w:type="dxa"/>
                </w:tcPr>
                <w:p w14:paraId="4092D82B" w14:textId="4A361906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5C7BB991" w14:textId="36124424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0994E4A0" w14:textId="77777777" w:rsidR="00F63647" w:rsidRPr="000E4DBE" w:rsidRDefault="00F6364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症状がない、または軽度の症状が</w:t>
                  </w:r>
                </w:p>
                <w:p w14:paraId="118AE89D" w14:textId="301377A3" w:rsidR="003C08E7" w:rsidRPr="000E4DBE" w:rsidRDefault="00F6364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ある；治療を要さない</w:t>
                  </w:r>
                </w:p>
              </w:tc>
              <w:tc>
                <w:tcPr>
                  <w:tcW w:w="359" w:type="dxa"/>
                </w:tcPr>
                <w:p w14:paraId="190A88F5" w14:textId="3C2D72C2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4C1E1E34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中等度の疼痛；</w:t>
                  </w:r>
                </w:p>
                <w:p w14:paraId="4434E224" w14:textId="3A79A09C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経口摂取に支障がない；食事の変更を要する</w:t>
                  </w:r>
                </w:p>
              </w:tc>
              <w:tc>
                <w:tcPr>
                  <w:tcW w:w="359" w:type="dxa"/>
                </w:tcPr>
                <w:p w14:paraId="3BD44F54" w14:textId="60462459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5AF41198" w14:textId="7B724D8A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高度の疼痛；経口摂取に支障がある</w:t>
                  </w:r>
                </w:p>
              </w:tc>
            </w:tr>
            <w:tr w:rsidR="00E860A5" w:rsidRPr="00640503" w14:paraId="6BA3F163" w14:textId="77777777" w:rsidTr="00F0214C">
              <w:tc>
                <w:tcPr>
                  <w:tcW w:w="1340" w:type="dxa"/>
                </w:tcPr>
                <w:p w14:paraId="572EA918" w14:textId="21B621C7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しびれ</w:t>
                  </w:r>
                </w:p>
              </w:tc>
              <w:tc>
                <w:tcPr>
                  <w:tcW w:w="675" w:type="dxa"/>
                </w:tcPr>
                <w:p w14:paraId="3419D83C" w14:textId="111AB027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5E893975" w14:textId="604203B8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516E182B" w14:textId="6A7E9F71" w:rsidR="003C08E7" w:rsidRPr="000E4DBE" w:rsidRDefault="004F1080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臨床所見または検査所見のみ</w:t>
                  </w:r>
                </w:p>
              </w:tc>
              <w:tc>
                <w:tcPr>
                  <w:tcW w:w="359" w:type="dxa"/>
                </w:tcPr>
                <w:p w14:paraId="07A1FB39" w14:textId="50D4A029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1C8108CF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中等度の症状；</w:t>
                  </w:r>
                </w:p>
                <w:p w14:paraId="6C2F65C3" w14:textId="1D3BB19C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715FE28C" w14:textId="73308004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068306AE" w14:textId="68DC0043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高度の症状；身の回りの日常生活動作の制限</w:t>
                  </w:r>
                </w:p>
              </w:tc>
            </w:tr>
            <w:tr w:rsidR="00E860A5" w:rsidRPr="00640503" w14:paraId="5059106D" w14:textId="77777777" w:rsidTr="00F0214C">
              <w:tc>
                <w:tcPr>
                  <w:tcW w:w="1340" w:type="dxa"/>
                </w:tcPr>
                <w:p w14:paraId="4CE3459D" w14:textId="7C93FC8C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b/>
                      <w:bCs/>
                      <w:spacing w:val="2"/>
                      <w:kern w:val="0"/>
                      <w:sz w:val="14"/>
                      <w:szCs w:val="14"/>
                    </w:rPr>
                    <w:t>ざ瘡様皮疹</w:t>
                  </w:r>
                </w:p>
              </w:tc>
              <w:tc>
                <w:tcPr>
                  <w:tcW w:w="675" w:type="dxa"/>
                </w:tcPr>
                <w:p w14:paraId="45F284AE" w14:textId="49451D0E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03D8EF97" w14:textId="0AB6E4EB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39E3ADC4" w14:textId="77777777" w:rsidR="004F1080" w:rsidRPr="000E4DBE" w:rsidRDefault="004F1080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体表面積の&lt;10%を占める紅色</w:t>
                  </w:r>
                </w:p>
                <w:p w14:paraId="346C284E" w14:textId="6E8E0407" w:rsidR="003C08E7" w:rsidRPr="000E4DBE" w:rsidRDefault="004F1080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丘疹および/または膿疱</w:t>
                  </w:r>
                </w:p>
              </w:tc>
              <w:tc>
                <w:tcPr>
                  <w:tcW w:w="359" w:type="dxa"/>
                </w:tcPr>
                <w:p w14:paraId="345317DF" w14:textId="20DB0315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53F49FC6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体表面積の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10-30%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を占める紅色丘疹および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/</w:t>
                  </w:r>
                </w:p>
                <w:p w14:paraId="6AA25162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または膿疱；社会心理学的な影響を伴う；</w:t>
                  </w:r>
                </w:p>
                <w:p w14:paraId="72C79030" w14:textId="7019105D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6CF37AE5" w14:textId="39395587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310B5444" w14:textId="2F1BE379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体表面積の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&gt;30%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を占める紅色丘疹および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/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または膿疱；身の回りの日常生活動作の制限；</w:t>
                  </w:r>
                </w:p>
                <w:p w14:paraId="53BE8DF7" w14:textId="1AAC737F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経口抗菌薬を要する局所の重複感染</w:t>
                  </w:r>
                </w:p>
              </w:tc>
            </w:tr>
            <w:tr w:rsidR="00E860A5" w:rsidRPr="00640503" w14:paraId="75B96D97" w14:textId="77777777" w:rsidTr="00F0214C">
              <w:tc>
                <w:tcPr>
                  <w:tcW w:w="1340" w:type="dxa"/>
                </w:tcPr>
                <w:p w14:paraId="3A638AFB" w14:textId="260EB2BB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皮膚乾燥</w:t>
                  </w:r>
                </w:p>
              </w:tc>
              <w:tc>
                <w:tcPr>
                  <w:tcW w:w="675" w:type="dxa"/>
                </w:tcPr>
                <w:p w14:paraId="17D7A038" w14:textId="79A355EE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462A4070" w14:textId="65584172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3B362DF6" w14:textId="77777777" w:rsidR="004F1080" w:rsidRPr="000E4DBE" w:rsidRDefault="004F1080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体表面積の&lt;10%を占めるが紅</w:t>
                  </w:r>
                </w:p>
                <w:p w14:paraId="5DF6D616" w14:textId="288E15C1" w:rsidR="003C08E7" w:rsidRPr="000E4DBE" w:rsidRDefault="004F1080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斑やそう痒は伴わない</w:t>
                  </w:r>
                </w:p>
              </w:tc>
              <w:tc>
                <w:tcPr>
                  <w:tcW w:w="359" w:type="dxa"/>
                </w:tcPr>
                <w:p w14:paraId="617FFC2E" w14:textId="4213BD77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484F1E58" w14:textId="77777777" w:rsidR="00DA2D97" w:rsidRPr="00700885" w:rsidRDefault="00DA2D97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体表面積の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10-30%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を占め、紅斑またはそう痒</w:t>
                  </w:r>
                </w:p>
                <w:p w14:paraId="05FA6A06" w14:textId="1E4BEE50" w:rsidR="003C08E7" w:rsidRPr="00700885" w:rsidRDefault="00DA2D9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を伴う；身の回り以外の日常生活動作の制限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72C21E93" w14:textId="204DEBAB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5D0FA676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体表面積の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&gt;30%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を占め、そう痒を伴う；</w:t>
                  </w:r>
                </w:p>
                <w:p w14:paraId="1C1BE8A9" w14:textId="3C71EC10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身の回りの日常生活動作の制限</w:t>
                  </w:r>
                </w:p>
              </w:tc>
            </w:tr>
            <w:tr w:rsidR="00E860A5" w:rsidRPr="00640503" w14:paraId="4D8796E8" w14:textId="77777777" w:rsidTr="00F0214C">
              <w:tc>
                <w:tcPr>
                  <w:tcW w:w="1340" w:type="dxa"/>
                </w:tcPr>
                <w:p w14:paraId="5048BA7B" w14:textId="5AB1F80E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爪囲炎</w:t>
                  </w:r>
                </w:p>
              </w:tc>
              <w:tc>
                <w:tcPr>
                  <w:tcW w:w="675" w:type="dxa"/>
                </w:tcPr>
                <w:p w14:paraId="1126DDD3" w14:textId="5A97CD72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1B1892AA" w14:textId="3D8B8E88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18BF4147" w14:textId="6875FE24" w:rsidR="003C08E7" w:rsidRPr="000E4DBE" w:rsidRDefault="004F1080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爪壁の浮腫や紅斑；角質の剥離</w:t>
                  </w:r>
                </w:p>
              </w:tc>
              <w:tc>
                <w:tcPr>
                  <w:tcW w:w="359" w:type="dxa"/>
                </w:tcPr>
                <w:p w14:paraId="7C37F923" w14:textId="2F421EB4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64CA6C82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局所的処置を要する；内服治療を要する；疼痛</w:t>
                  </w:r>
                </w:p>
                <w:p w14:paraId="44B191F7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を伴う爪壁の浮腫や紅斑；滲出液や爪の分離を</w:t>
                  </w:r>
                </w:p>
                <w:p w14:paraId="0A5DA456" w14:textId="6B39894B" w:rsidR="003C08E7" w:rsidRPr="00700885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-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伴う；身の回り以外の日常生活動作の制限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45762B05" w14:textId="7F235E78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46D7F6B0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外科的処置や抗菌薬の静脈内投与を要する；</w:t>
                  </w:r>
                </w:p>
                <w:p w14:paraId="615D25FF" w14:textId="661F9C58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日常生活動作の制限</w:t>
                  </w:r>
                </w:p>
              </w:tc>
            </w:tr>
            <w:tr w:rsidR="00E860A5" w:rsidRPr="00640503" w14:paraId="095DD83C" w14:textId="77777777" w:rsidTr="00F0214C">
              <w:tc>
                <w:tcPr>
                  <w:tcW w:w="1340" w:type="dxa"/>
                </w:tcPr>
                <w:p w14:paraId="64790B9F" w14:textId="77777777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手掌・足底発赤</w:t>
                  </w:r>
                </w:p>
                <w:p w14:paraId="7441F306" w14:textId="5622CC7E" w:rsidR="003C08E7" w:rsidRPr="000E4DBE" w:rsidRDefault="003C08E7" w:rsidP="000E4DBE">
                  <w:pPr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知覚不全症候群</w:t>
                  </w:r>
                </w:p>
              </w:tc>
              <w:tc>
                <w:tcPr>
                  <w:tcW w:w="675" w:type="dxa"/>
                </w:tcPr>
                <w:p w14:paraId="211523F1" w14:textId="53C34DB7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4310AAA5" w14:textId="7971AA84" w:rsidR="003C08E7" w:rsidRPr="000E4DBE" w:rsidRDefault="003C08E7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7AA9A6F3" w14:textId="77777777" w:rsidR="004F1080" w:rsidRPr="000E4DBE" w:rsidRDefault="004F1080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疼痛を伴わないわずかな皮膚の</w:t>
                  </w:r>
                </w:p>
                <w:p w14:paraId="5976B149" w14:textId="77777777" w:rsidR="004F1080" w:rsidRPr="000E4DBE" w:rsidRDefault="004F1080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変化または皮膚炎（紅斑,浮腫,角</w:t>
                  </w:r>
                </w:p>
                <w:p w14:paraId="716F4A77" w14:textId="397C24D9" w:rsidR="003C08E7" w:rsidRPr="000E4DBE" w:rsidRDefault="004F1080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質増殖症）</w:t>
                  </w:r>
                </w:p>
              </w:tc>
              <w:tc>
                <w:tcPr>
                  <w:tcW w:w="359" w:type="dxa"/>
                </w:tcPr>
                <w:p w14:paraId="55889EDB" w14:textId="0E9BA088" w:rsidR="003C08E7" w:rsidRPr="000E4DBE" w:rsidRDefault="00FA1DAB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15224540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疼痛を伴う皮膚の変化</w:t>
                  </w:r>
                </w:p>
                <w:p w14:paraId="5EC76098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（角層剥離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水疱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出血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浮腫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角質増殖症）；</w:t>
                  </w:r>
                </w:p>
                <w:p w14:paraId="7543197D" w14:textId="21D197D7" w:rsidR="003C08E7" w:rsidRPr="00700885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2A35B9C3" w14:textId="076F3A44" w:rsidR="003C08E7" w:rsidRPr="000E4DBE" w:rsidRDefault="00640503" w:rsidP="000E4DBE">
                  <w:pPr>
                    <w:spacing w:line="0" w:lineRule="atLeast"/>
                    <w:contextualSpacing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128F541B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疼痛を伴う高度の皮膚の変化</w:t>
                  </w:r>
                </w:p>
                <w:p w14:paraId="1F9A3E0B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（角層剥離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水疱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出血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浮腫</w:t>
                  </w:r>
                  <w:r w:rsidRPr="00700885"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  <w:t>,</w:t>
                  </w: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角質増殖症）；</w:t>
                  </w:r>
                </w:p>
                <w:p w14:paraId="6A24304D" w14:textId="7B4AE23E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身の回りの日常生活動作の制限</w:t>
                  </w:r>
                </w:p>
              </w:tc>
            </w:tr>
            <w:tr w:rsidR="00E860A5" w:rsidRPr="00640503" w14:paraId="49FA0CAD" w14:textId="77777777" w:rsidTr="00F0214C">
              <w:tc>
                <w:tcPr>
                  <w:tcW w:w="1340" w:type="dxa"/>
                </w:tcPr>
                <w:p w14:paraId="28D3C5B5" w14:textId="03D6BAC6" w:rsidR="003C08E7" w:rsidRPr="000E4DBE" w:rsidRDefault="003C08E7" w:rsidP="000E4DBE">
                  <w:pPr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b/>
                      <w:bCs/>
                      <w:spacing w:val="2"/>
                      <w:sz w:val="14"/>
                      <w:szCs w:val="14"/>
                    </w:rPr>
                    <w:t>疲労感</w:t>
                  </w:r>
                </w:p>
              </w:tc>
              <w:tc>
                <w:tcPr>
                  <w:tcW w:w="675" w:type="dxa"/>
                </w:tcPr>
                <w:p w14:paraId="5F54784F" w14:textId="7A0E3837" w:rsidR="003C08E7" w:rsidRPr="000E4DBE" w:rsidRDefault="003C08E7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□なし</w:t>
                  </w:r>
                </w:p>
              </w:tc>
              <w:tc>
                <w:tcPr>
                  <w:tcW w:w="359" w:type="dxa"/>
                </w:tcPr>
                <w:p w14:paraId="46985A72" w14:textId="3F4D0E52" w:rsidR="003C08E7" w:rsidRPr="000E4DBE" w:rsidRDefault="003C08E7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289" w:type="dxa"/>
                </w:tcPr>
                <w:p w14:paraId="5DD2A8E5" w14:textId="23E1FCC1" w:rsidR="003C08E7" w:rsidRPr="000E4DBE" w:rsidRDefault="008F47D6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b/>
                      <w:bCs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</w:rPr>
                    <w:t>休息により軽快する疲労</w:t>
                  </w:r>
                </w:p>
              </w:tc>
              <w:tc>
                <w:tcPr>
                  <w:tcW w:w="359" w:type="dxa"/>
                </w:tcPr>
                <w:p w14:paraId="75A63F17" w14:textId="0B7B12FC" w:rsidR="003C08E7" w:rsidRPr="000E4DBE" w:rsidRDefault="00FA1DAB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2636" w:type="dxa"/>
                </w:tcPr>
                <w:p w14:paraId="0972239A" w14:textId="77777777" w:rsidR="00640503" w:rsidRPr="00700885" w:rsidRDefault="00640503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休息によって軽快しない疲労；</w:t>
                  </w:r>
                </w:p>
                <w:p w14:paraId="05CF56C3" w14:textId="7ACC7FEB" w:rsidR="003C08E7" w:rsidRPr="00700885" w:rsidRDefault="00640503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2"/>
                      <w:szCs w:val="12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2"/>
                      <w:szCs w:val="12"/>
                    </w:rPr>
                    <w:t>身の回り以外の日常生活動作の制限</w:t>
                  </w:r>
                </w:p>
              </w:tc>
              <w:tc>
                <w:tcPr>
                  <w:tcW w:w="359" w:type="dxa"/>
                </w:tcPr>
                <w:p w14:paraId="7E401EA0" w14:textId="687D8B05" w:rsidR="003C08E7" w:rsidRPr="000E4DBE" w:rsidRDefault="00640503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</w:rPr>
                  </w:pPr>
                  <w:r w:rsidRPr="000E4DBE">
                    <w:rPr>
                      <w:rFonts w:ascii="BIZ UDPゴシック" w:eastAsia="BIZ UDPゴシック" w:hAnsi="BIZ UDPゴシック" w:hint="eastAsia"/>
                      <w:spacing w:val="2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3057" w:type="dxa"/>
                </w:tcPr>
                <w:p w14:paraId="189107F0" w14:textId="77777777" w:rsidR="000E4DBE" w:rsidRPr="00700885" w:rsidRDefault="000E4DBE" w:rsidP="000E4DBE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BIZ UDPゴシック" w:eastAsia="BIZ UDPゴシック" w:hAnsi="BIZ UDPゴシック" w:cs="HiraMaruProN-W4"/>
                      <w:kern w:val="0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休息によって軽快しない疲労；</w:t>
                  </w:r>
                </w:p>
                <w:p w14:paraId="7CE3CB45" w14:textId="0EEA2E79" w:rsidR="003C08E7" w:rsidRPr="00700885" w:rsidRDefault="000E4DBE" w:rsidP="000E4DBE">
                  <w:pPr>
                    <w:spacing w:line="0" w:lineRule="atLeast"/>
                    <w:rPr>
                      <w:rFonts w:ascii="BIZ UDPゴシック" w:eastAsia="BIZ UDPゴシック" w:hAnsi="BIZ UDPゴシック"/>
                      <w:spacing w:val="2"/>
                      <w:sz w:val="14"/>
                      <w:szCs w:val="14"/>
                      <w:shd w:val="pct15" w:color="auto" w:fill="FFFFFF"/>
                    </w:rPr>
                  </w:pPr>
                  <w:r w:rsidRPr="00700885">
                    <w:rPr>
                      <w:rFonts w:ascii="BIZ UDPゴシック" w:eastAsia="BIZ UDPゴシック" w:hAnsi="BIZ UDPゴシック" w:cs="HiraMaruProN-W4" w:hint="eastAsia"/>
                      <w:kern w:val="0"/>
                      <w:sz w:val="14"/>
                      <w:szCs w:val="14"/>
                      <w:shd w:val="pct15" w:color="auto" w:fill="FFFFFF"/>
                    </w:rPr>
                    <w:t>身の回りの日常生活動作の制限</w:t>
                  </w:r>
                </w:p>
              </w:tc>
            </w:tr>
          </w:tbl>
          <w:p w14:paraId="3B0A4462" w14:textId="77777777" w:rsidR="00C131A0" w:rsidRPr="00286B7D" w:rsidRDefault="00286B7D" w:rsidP="00C131A0">
            <w:pPr>
              <w:rPr>
                <w:rFonts w:asciiTheme="majorEastAsia" w:eastAsiaTheme="majorEastAsia" w:hAnsiTheme="majorEastAsia"/>
                <w:spacing w:val="2"/>
                <w:szCs w:val="21"/>
                <w:u w:val="single"/>
              </w:rPr>
            </w:pPr>
            <w:r w:rsidRPr="00286B7D">
              <w:rPr>
                <w:rFonts w:asciiTheme="majorEastAsia" w:eastAsiaTheme="majorEastAsia" w:hAnsiTheme="majorEastAsia" w:hint="eastAsia"/>
                <w:spacing w:val="2"/>
                <w:szCs w:val="21"/>
                <w:u w:val="single"/>
              </w:rPr>
              <w:t>症状の詳細・その他の症状</w:t>
            </w:r>
          </w:p>
          <w:p w14:paraId="33004905" w14:textId="77777777" w:rsidR="00286B7D" w:rsidRPr="00286B7D" w:rsidRDefault="00286B7D" w:rsidP="00C131A0">
            <w:pPr>
              <w:rPr>
                <w:rFonts w:asciiTheme="majorEastAsia" w:eastAsiaTheme="majorEastAsia" w:hAnsiTheme="majorEastAsia"/>
                <w:spacing w:val="2"/>
                <w:szCs w:val="21"/>
                <w:u w:val="single"/>
              </w:rPr>
            </w:pPr>
          </w:p>
          <w:p w14:paraId="5E1F9F48" w14:textId="77777777" w:rsidR="00286B7D" w:rsidRPr="00286B7D" w:rsidRDefault="00286B7D" w:rsidP="00C131A0">
            <w:pPr>
              <w:rPr>
                <w:rFonts w:asciiTheme="majorEastAsia" w:eastAsiaTheme="majorEastAsia" w:hAnsiTheme="majorEastAsia"/>
                <w:spacing w:val="2"/>
                <w:szCs w:val="21"/>
                <w:u w:val="single"/>
              </w:rPr>
            </w:pPr>
          </w:p>
          <w:p w14:paraId="620DCCD1" w14:textId="6BAB1685" w:rsidR="00286B7D" w:rsidRPr="00286B7D" w:rsidRDefault="00286B7D" w:rsidP="00C131A0">
            <w:pPr>
              <w:rPr>
                <w:rFonts w:ascii="BIZ UDPゴシック" w:eastAsia="BIZ UDPゴシック" w:hAnsi="BIZ UDPゴシック"/>
                <w:spacing w:val="2"/>
                <w:szCs w:val="21"/>
                <w:u w:val="single"/>
              </w:rPr>
            </w:pPr>
            <w:r w:rsidRPr="00286B7D">
              <w:rPr>
                <w:rFonts w:asciiTheme="majorEastAsia" w:eastAsiaTheme="majorEastAsia" w:hAnsiTheme="majorEastAsia" w:hint="eastAsia"/>
                <w:spacing w:val="2"/>
                <w:szCs w:val="21"/>
                <w:u w:val="single"/>
              </w:rPr>
              <w:t>薬剤師としての提案事項・その他の報告事項</w:t>
            </w:r>
          </w:p>
        </w:tc>
      </w:tr>
    </w:tbl>
    <w:p w14:paraId="0552B6E8" w14:textId="77777777" w:rsidR="00BE08D9" w:rsidRPr="00286B7D" w:rsidRDefault="0084222F" w:rsidP="00BE08D9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286B7D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="00BE08D9" w:rsidRPr="00286B7D">
        <w:rPr>
          <w:rFonts w:asciiTheme="majorEastAsia" w:eastAsiaTheme="majorEastAsia" w:hAnsiTheme="majorEastAsia"/>
          <w:sz w:val="20"/>
          <w:szCs w:val="20"/>
        </w:rPr>
        <w:t xml:space="preserve">　</w:t>
      </w:r>
    </w:p>
    <w:p w14:paraId="0DA8B9E1" w14:textId="5A988857" w:rsidR="00B111E8" w:rsidRPr="00286B7D" w:rsidRDefault="00BE08D9" w:rsidP="00286B7D">
      <w:pPr>
        <w:spacing w:line="280" w:lineRule="exact"/>
        <w:ind w:leftChars="50" w:left="205" w:hangingChars="50" w:hanging="100"/>
        <w:rPr>
          <w:rFonts w:asciiTheme="majorEastAsia" w:eastAsiaTheme="majorEastAsia" w:hAnsiTheme="majorEastAsia"/>
          <w:sz w:val="24"/>
          <w:szCs w:val="24"/>
        </w:rPr>
      </w:pPr>
      <w:r w:rsidRPr="00286B7D">
        <w:rPr>
          <w:rFonts w:asciiTheme="majorEastAsia" w:eastAsiaTheme="majorEastAsia" w:hAnsiTheme="majorEastAsia" w:hint="eastAsia"/>
          <w:sz w:val="20"/>
          <w:szCs w:val="20"/>
        </w:rPr>
        <w:t>・FAXよる情報伝達は、疑義照会ではありません。緊急性のある疑義照会は通常通り電話にてお願いします。</w:t>
      </w:r>
    </w:p>
    <w:sectPr w:rsidR="00B111E8" w:rsidRPr="00286B7D" w:rsidSect="00F0214C">
      <w:pgSz w:w="11906" w:h="16838"/>
      <w:pgMar w:top="1134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837C" w14:textId="77777777" w:rsidR="003A2214" w:rsidRDefault="003A2214" w:rsidP="009F6892">
      <w:r>
        <w:separator/>
      </w:r>
    </w:p>
  </w:endnote>
  <w:endnote w:type="continuationSeparator" w:id="0">
    <w:p w14:paraId="3C24C438" w14:textId="77777777" w:rsidR="003A2214" w:rsidRDefault="003A221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MaruProN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aruPro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2621" w14:textId="77777777" w:rsidR="003A2214" w:rsidRDefault="003A2214" w:rsidP="009F6892">
      <w:r>
        <w:separator/>
      </w:r>
    </w:p>
  </w:footnote>
  <w:footnote w:type="continuationSeparator" w:id="0">
    <w:p w14:paraId="327E3907" w14:textId="77777777" w:rsidR="003A2214" w:rsidRDefault="003A2214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71CF"/>
    <w:multiLevelType w:val="hybridMultilevel"/>
    <w:tmpl w:val="3A620C7C"/>
    <w:lvl w:ilvl="0" w:tplc="15C6C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8441C"/>
    <w:multiLevelType w:val="hybridMultilevel"/>
    <w:tmpl w:val="7E76D8E6"/>
    <w:lvl w:ilvl="0" w:tplc="4306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B6C6C"/>
    <w:rsid w:val="000C5902"/>
    <w:rsid w:val="000C5FED"/>
    <w:rsid w:val="000D341F"/>
    <w:rsid w:val="000D60BB"/>
    <w:rsid w:val="000E4DBE"/>
    <w:rsid w:val="0012544B"/>
    <w:rsid w:val="001279A6"/>
    <w:rsid w:val="0014229A"/>
    <w:rsid w:val="00143F20"/>
    <w:rsid w:val="001A7E1A"/>
    <w:rsid w:val="001B411A"/>
    <w:rsid w:val="001B42E3"/>
    <w:rsid w:val="001F52F6"/>
    <w:rsid w:val="00235933"/>
    <w:rsid w:val="00251EE6"/>
    <w:rsid w:val="0027282C"/>
    <w:rsid w:val="00277E56"/>
    <w:rsid w:val="002813A7"/>
    <w:rsid w:val="00286B7D"/>
    <w:rsid w:val="002C0FB5"/>
    <w:rsid w:val="002F2BDF"/>
    <w:rsid w:val="003239AB"/>
    <w:rsid w:val="003434D0"/>
    <w:rsid w:val="003620E8"/>
    <w:rsid w:val="003A2214"/>
    <w:rsid w:val="003C08E7"/>
    <w:rsid w:val="003C0F46"/>
    <w:rsid w:val="003D1295"/>
    <w:rsid w:val="003F3F08"/>
    <w:rsid w:val="00424EA0"/>
    <w:rsid w:val="0043475E"/>
    <w:rsid w:val="00483BDA"/>
    <w:rsid w:val="004927D6"/>
    <w:rsid w:val="004A669C"/>
    <w:rsid w:val="004A781F"/>
    <w:rsid w:val="004C6CE9"/>
    <w:rsid w:val="004D41B7"/>
    <w:rsid w:val="004E5099"/>
    <w:rsid w:val="004F1080"/>
    <w:rsid w:val="00502D64"/>
    <w:rsid w:val="00510710"/>
    <w:rsid w:val="005228B3"/>
    <w:rsid w:val="0058477B"/>
    <w:rsid w:val="005A7871"/>
    <w:rsid w:val="006257A9"/>
    <w:rsid w:val="00634CE0"/>
    <w:rsid w:val="00640503"/>
    <w:rsid w:val="00667913"/>
    <w:rsid w:val="0068166A"/>
    <w:rsid w:val="006977C9"/>
    <w:rsid w:val="006C5CD1"/>
    <w:rsid w:val="006D3FAB"/>
    <w:rsid w:val="006E4F59"/>
    <w:rsid w:val="00700885"/>
    <w:rsid w:val="00710B27"/>
    <w:rsid w:val="00717146"/>
    <w:rsid w:val="00773FBE"/>
    <w:rsid w:val="0077663C"/>
    <w:rsid w:val="0078024F"/>
    <w:rsid w:val="00784230"/>
    <w:rsid w:val="00793685"/>
    <w:rsid w:val="007977C5"/>
    <w:rsid w:val="007C2FB8"/>
    <w:rsid w:val="007F4114"/>
    <w:rsid w:val="008265F9"/>
    <w:rsid w:val="0084222F"/>
    <w:rsid w:val="008B2E28"/>
    <w:rsid w:val="008E024C"/>
    <w:rsid w:val="008E0B65"/>
    <w:rsid w:val="008E353A"/>
    <w:rsid w:val="008E3E81"/>
    <w:rsid w:val="008E4AD0"/>
    <w:rsid w:val="008E73AF"/>
    <w:rsid w:val="008F38F2"/>
    <w:rsid w:val="008F47D6"/>
    <w:rsid w:val="009116F8"/>
    <w:rsid w:val="00942919"/>
    <w:rsid w:val="00952D46"/>
    <w:rsid w:val="0096075F"/>
    <w:rsid w:val="00961FD2"/>
    <w:rsid w:val="009638A0"/>
    <w:rsid w:val="009734A0"/>
    <w:rsid w:val="00974B63"/>
    <w:rsid w:val="009C5968"/>
    <w:rsid w:val="009D7D78"/>
    <w:rsid w:val="009E61E8"/>
    <w:rsid w:val="009F45F6"/>
    <w:rsid w:val="009F657F"/>
    <w:rsid w:val="009F6892"/>
    <w:rsid w:val="00A16FC5"/>
    <w:rsid w:val="00A23ECF"/>
    <w:rsid w:val="00A466CE"/>
    <w:rsid w:val="00AA2910"/>
    <w:rsid w:val="00AC6C51"/>
    <w:rsid w:val="00AF3781"/>
    <w:rsid w:val="00B111E8"/>
    <w:rsid w:val="00B14785"/>
    <w:rsid w:val="00B26B51"/>
    <w:rsid w:val="00B3388B"/>
    <w:rsid w:val="00B353BE"/>
    <w:rsid w:val="00B40071"/>
    <w:rsid w:val="00B500AD"/>
    <w:rsid w:val="00B71C63"/>
    <w:rsid w:val="00B83857"/>
    <w:rsid w:val="00BA2F36"/>
    <w:rsid w:val="00BC791C"/>
    <w:rsid w:val="00BD5A41"/>
    <w:rsid w:val="00BE08D9"/>
    <w:rsid w:val="00BE0A44"/>
    <w:rsid w:val="00BF5A62"/>
    <w:rsid w:val="00C0725A"/>
    <w:rsid w:val="00C131A0"/>
    <w:rsid w:val="00C22631"/>
    <w:rsid w:val="00C26B19"/>
    <w:rsid w:val="00C3708C"/>
    <w:rsid w:val="00C4532F"/>
    <w:rsid w:val="00C45525"/>
    <w:rsid w:val="00C51BD3"/>
    <w:rsid w:val="00C93567"/>
    <w:rsid w:val="00C964A8"/>
    <w:rsid w:val="00CB5790"/>
    <w:rsid w:val="00CC5FB6"/>
    <w:rsid w:val="00CD4DC7"/>
    <w:rsid w:val="00D04E81"/>
    <w:rsid w:val="00D238BF"/>
    <w:rsid w:val="00D46AE3"/>
    <w:rsid w:val="00D73F81"/>
    <w:rsid w:val="00D83C6F"/>
    <w:rsid w:val="00D90026"/>
    <w:rsid w:val="00D942F9"/>
    <w:rsid w:val="00DA2D97"/>
    <w:rsid w:val="00DD761A"/>
    <w:rsid w:val="00E24101"/>
    <w:rsid w:val="00E533D8"/>
    <w:rsid w:val="00E61A85"/>
    <w:rsid w:val="00E63C3F"/>
    <w:rsid w:val="00E63D55"/>
    <w:rsid w:val="00E860A5"/>
    <w:rsid w:val="00E9255A"/>
    <w:rsid w:val="00EA2423"/>
    <w:rsid w:val="00EA76AE"/>
    <w:rsid w:val="00ED60D3"/>
    <w:rsid w:val="00EE290E"/>
    <w:rsid w:val="00EF3409"/>
    <w:rsid w:val="00EF4162"/>
    <w:rsid w:val="00F0214C"/>
    <w:rsid w:val="00F07101"/>
    <w:rsid w:val="00F22FEF"/>
    <w:rsid w:val="00F30047"/>
    <w:rsid w:val="00F30316"/>
    <w:rsid w:val="00F35058"/>
    <w:rsid w:val="00F438AB"/>
    <w:rsid w:val="00F63647"/>
    <w:rsid w:val="00F83EB1"/>
    <w:rsid w:val="00FA1D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DC0BAB9F-838B-444C-A0F2-16A6BB2B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EA0"/>
    <w:pPr>
      <w:ind w:leftChars="400" w:left="840"/>
    </w:pPr>
  </w:style>
  <w:style w:type="table" w:styleId="a9">
    <w:name w:val="Grid Table Light"/>
    <w:basedOn w:val="a1"/>
    <w:uiPriority w:val="99"/>
    <w:rsid w:val="00C1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F83A-9887-4ED4-BB74-2176A11D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薬剤副科長</cp:lastModifiedBy>
  <cp:revision>2</cp:revision>
  <cp:lastPrinted>2020-09-25T14:18:00Z</cp:lastPrinted>
  <dcterms:created xsi:type="dcterms:W3CDTF">2020-11-24T00:19:00Z</dcterms:created>
  <dcterms:modified xsi:type="dcterms:W3CDTF">2020-11-24T00:19:00Z</dcterms:modified>
</cp:coreProperties>
</file>